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35"/>
    <w:p>
      <w:pPr>
        <w:pStyle w:val="Heading1"/>
      </w:pPr>
      <w:r>
        <w:t xml:space="preserve">Homiletics Analysis: Numbers 35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35 divides into two related but distinct movements. The first (vv. 1–8) addresses the provision of Levitical cities: because the Levites received no territorial inheritance in Canaan, the LORD instructs that forty-eight cities, with surrounding pastureland, be set apart for them from the other tribes’ allocations — the number proportional to each tribe’s size. The second and larger movement (vv. 9–34) establishes the six cities of refuge — three east of the Jordan, three west — as a legal and theological institution governing cases of homicide. The text carefully distinguishes between premeditated murder (for which the killer must die at the hand of the blood avenger, with no asylum available) and accidental manslaughter (for which the cities of refuge provide asylum until the death of the high priest). The chapter concludes with foundational theological grounding: blood defiles the land, the land cannot be cleansed of blood except by the blood of the one who shed it, and the LORD dwells</w:t>
      </w:r>
      <w:r>
        <w:t xml:space="preserve"> </w:t>
      </w:r>
      <w:r>
        <w:rPr>
          <w:i/>
          <w:iCs/>
        </w:rPr>
        <w:t xml:space="preserve">in</w:t>
      </w:r>
      <w:r>
        <w:t xml:space="preserve"> </w:t>
      </w:r>
      <w:r>
        <w:t xml:space="preserve">the land among His people — therefore its purity must be maintained.</w:t>
      </w:r>
    </w:p>
    <w:p>
      <w:pPr>
        <w:pStyle w:val="BodyText"/>
      </w:pPr>
      <w:r>
        <w:rPr>
          <w:b/>
          <w:bCs/>
        </w:rPr>
        <w:t xml:space="preserve">This Text — Intent</w:t>
      </w:r>
    </w:p>
    <w:p>
      <w:pPr>
        <w:pStyle w:val="BodyText"/>
      </w:pPr>
      <w:r>
        <w:t xml:space="preserve">God is establishing — through legal and spatial institution — that human life made in His image bears inviolable worth, that justice and mercy are not opposed but must both be honored in a covenant community, and that the land itself is the LORD’s dwelling place, requiring holiness commensurate with His presence. The intent is not merely procedural: God is shaping Israel’s moral imagination so that life is sacred, guilt is not erased cheaply, mercy is real and structured, and the community’s continued enjoyment of God’s presence depends on their handling of both blood guilt and innocent life with seriousness. The chapter presses the community — and through them, the reader — to understand that where God dwells, the stakes of human conduct are irreducibly high.</w:t>
      </w:r>
    </w:p>
    <w:p>
      <w:r>
        <w:pict>
          <v:rect style="width:0;height:1.5pt" o:hralign="center" o:hrstd="t" o:hr="t"/>
        </w:pict>
      </w:r>
    </w:p>
    <w:p>
      <w:pPr>
        <w:pStyle w:val="FirstParagraph"/>
      </w:pPr>
      <w:r>
        <w:rPr>
          <w:b/>
          <w:bCs/>
        </w:rPr>
        <w:t xml:space="preserve">Subject Sentence:</w:t>
      </w:r>
      <w:r>
        <w:t xml:space="preserve"> </w:t>
      </w:r>
      <w:r>
        <w:t xml:space="preserve">The LORD structures justice and mercy in the land He inhabits, because His presence demands the sanctity of life.</w:t>
      </w:r>
    </w:p>
    <w:p>
      <w:r>
        <w:pict>
          <v:rect style="width:0;height:1.5pt" o:hralign="center" o:hrstd="t" o:hr="t"/>
        </w:pict>
      </w:r>
    </w:p>
    <w:p>
      <w:pPr>
        <w:pStyle w:val="FirstParagraph"/>
      </w:pPr>
      <w:r>
        <w:rPr>
          <w:b/>
          <w:bCs/>
        </w:rPr>
        <w:t xml:space="preserve">Primary Claim:</w:t>
      </w:r>
      <w:r>
        <w:t xml:space="preserve"> </w:t>
      </w:r>
      <w:r>
        <w:t xml:space="preserve">God is not merely legislating homicide law — He is forming a people who understand that human life is sacred because He is present among them, and that a community dwelling with a holy God must handle both guilt and innocence with exact and costly seriousness.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Cities of Refuge as Type of Christ</w:t>
      </w:r>
    </w:p>
    <w:p>
      <w:pPr>
        <w:pStyle w:val="BodyText"/>
      </w:pPr>
      <w:r>
        <w:t xml:space="preserve">A well-established Reformed and broadly evangelical interpretive tradition reads the cities of refuge typologically: the fleeing manslayer as the sinner fleeing judgment, the city as Christ the refuge, and the death of the high priest as a type of Christ’s atoning death which releases the sinner from the bondage of the law’s demand. This reading has substantial canonical warrant (see Hebrews 6:18’s allusion to</w:t>
      </w:r>
      <w:r>
        <w:t xml:space="preserve"> </w:t>
      </w:r>
      <w:r>
        <w:t xml:space="preserve">“fleeing for refuge”</w:t>
      </w:r>
      <w:r>
        <w:t xml:space="preserve">) and is not to be dismissed. However, it requires careful handling. The typological function is present but partial — the manslayer in Numbers 35 is</w:t>
      </w:r>
      <w:r>
        <w:t xml:space="preserve"> </w:t>
      </w:r>
      <w:r>
        <w:rPr>
          <w:i/>
          <w:iCs/>
        </w:rPr>
        <w:t xml:space="preserve">innocent</w:t>
      </w:r>
      <w:r>
        <w:t xml:space="preserve"> </w:t>
      </w:r>
      <w:r>
        <w:t xml:space="preserve">of intentional murder and is seeking protection from a legal institution that could otherwise exact vengeance without adjudication, not fleeing as a guilty sinner seeking pardon. The analogy is real but imprecise: Christ is our refuge, but the mechanism of the type does not map cleanly onto justification-of-the-guilty. The typological reading is best</w:t>
      </w:r>
      <w:r>
        <w:t xml:space="preserve"> </w:t>
      </w:r>
      <w:r>
        <w:rPr>
          <w:b/>
          <w:bCs/>
        </w:rPr>
        <w:t xml:space="preserve">acknowledged</w:t>
      </w:r>
      <w:r>
        <w:t xml:space="preserve"> </w:t>
      </w:r>
      <w:r>
        <w:t xml:space="preserve">as illuminating one dimension of the passage’s redemptive-historical function without being allowed to flatten the passage’s own legal and social claims.</w:t>
      </w:r>
    </w:p>
    <w:p>
      <w:pPr>
        <w:pStyle w:val="BodyText"/>
      </w:pPr>
      <w:r>
        <w:rPr>
          <w:b/>
          <w:bCs/>
        </w:rPr>
        <w:t xml:space="preserve">The High Priest’s Death as Expiation</w:t>
      </w:r>
    </w:p>
    <w:p>
      <w:pPr>
        <w:pStyle w:val="BodyText"/>
      </w:pPr>
      <w:r>
        <w:t xml:space="preserve">Some interpreters (particularly in devotional and typological traditions) treat the high priest’s death as explicitly expiatory — that his death itself cleanses blood guilt and satisfies the demand of the law on behalf of the manslayer. The text does not say this. It says the manslayer</w:t>
      </w:r>
      <w:r>
        <w:t xml:space="preserve"> </w:t>
      </w:r>
      <w:r>
        <w:rPr>
          <w:i/>
          <w:iCs/>
        </w:rPr>
        <w:t xml:space="preserve">must remain in the city until the death of the high priest</w:t>
      </w:r>
      <w:r>
        <w:t xml:space="preserve"> </w:t>
      </w:r>
      <w:r>
        <w:t xml:space="preserve">and may then return home. The connection between the high priest’s death and the manslayer’s release is stated but not theologically explained within the chapter. The Reformed reading rightly holds that the typological dimension anticipates Christ’s atoning death while acknowledging that the mechanism in the text is associative and cultic rather than explicitly substitutionary.</w:t>
      </w:r>
      <w:r>
        <w:t xml:space="preserve"> </w:t>
      </w:r>
      <w:r>
        <w:rPr>
          <w:b/>
          <w:bCs/>
        </w:rPr>
        <w:t xml:space="preserve">Qualify</w:t>
      </w:r>
      <w:r>
        <w:t xml:space="preserve"> </w:t>
      </w:r>
      <w:r>
        <w:t xml:space="preserve">rather than refute: the text does suggest a cultic or representational logic, but to press it into full substitutionary atonement is to carry the type further than the text itself goes.</w:t>
      </w:r>
    </w:p>
    <w:p>
      <w:pPr>
        <w:pStyle w:val="BodyText"/>
      </w:pPr>
      <w:r>
        <w:rPr>
          <w:b/>
          <w:bCs/>
        </w:rPr>
        <w:t xml:space="preserve">Dispensational Literalism and Land Theology</w:t>
      </w:r>
    </w:p>
    <w:p>
      <w:pPr>
        <w:pStyle w:val="BodyText"/>
      </w:pPr>
      <w:r>
        <w:t xml:space="preserve">Dispensational readings of verse 34 —</w:t>
      </w:r>
      <w:r>
        <w:t xml:space="preserve"> </w:t>
      </w:r>
      <w:r>
        <w:t xml:space="preserve">“I the LORD dwell among the Israelites”</w:t>
      </w:r>
      <w:r>
        <w:t xml:space="preserve"> </w:t>
      </w:r>
      <w:r>
        <w:t xml:space="preserve">— typically limit this to the Theocratic period and Israel’s unique covenant status, treating the land-holiness framework as inapplicable to the church. This</w:t>
      </w:r>
      <w:r>
        <w:t xml:space="preserve"> </w:t>
      </w:r>
      <w:r>
        <w:rPr>
          <w:b/>
          <w:bCs/>
        </w:rPr>
        <w:t xml:space="preserve">qualifies</w:t>
      </w:r>
      <w:r>
        <w:t xml:space="preserve"> </w:t>
      </w:r>
      <w:r>
        <w:t xml:space="preserve">in important ways but overreaches in its discontinuity. The theological principle that God’s dwelling presence raises the moral stakes of the community is not abrogated in the New Testament — it is intensified (1 Corinthians 3:16–17; 6:19–20; Revelation 21–22). The specific land-grant and civic institutions of Numbers 35 are indeed fulfilled and transformed in Christ, but the underlying theology of holiness, presence, and community purity carries directly into the New Covenant.</w:t>
      </w:r>
    </w:p>
    <w:p>
      <w:pPr>
        <w:pStyle w:val="BodyText"/>
      </w:pPr>
      <w:r>
        <w:rPr>
          <w:b/>
          <w:bCs/>
        </w:rPr>
        <w:t xml:space="preserve">Reformed Verdict</w:t>
      </w:r>
    </w:p>
    <w:p>
      <w:pPr>
        <w:pStyle w:val="BodyText"/>
      </w:pPr>
      <w:r>
        <w:t xml:space="preserve">The Reformed reading honors the text at its three levels simultaneously: the original civic-legal institution in Israel’s covenant life (with genuine force and intention, not merely prefiguring something else), the typological anticipation of Christ as refuge and high priest, and the canonical-theological principle that God’s presence in community raises irreducible moral demands regarding the sanctity of life, justice, and mercy. The passage is not primarily a Christological allegory — it is genuine law-giving that does real work in Israel’s covenant life and that points forward to its own fulfillment without being reduced to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9:5–6</w:t>
      </w:r>
      <w:r>
        <w:t xml:space="preserve"> </w:t>
      </w:r>
      <w:r>
        <w:t xml:space="preserve">— The foundational principle that grounds all of Numbers 35: human blood may not be shed with impunity because man is made in the image of God. This is the theological bedrock beneath the entire chapter’s legal structure.</w:t>
      </w:r>
    </w:p>
    <w:p>
      <w:pPr>
        <w:numPr>
          <w:ilvl w:val="0"/>
          <w:numId w:val="1001"/>
        </w:numPr>
      </w:pPr>
      <w:r>
        <w:rPr>
          <w:b/>
          <w:bCs/>
        </w:rPr>
        <w:t xml:space="preserve">Exodus 21:12–14</w:t>
      </w:r>
      <w:r>
        <w:t xml:space="preserve"> </w:t>
      </w:r>
      <w:r>
        <w:t xml:space="preserve">— The earlier Sinaitic legislation on murder and manslaughter, of which Numbers 35 is the fuller civic institutionalization. Shows the progressive development of the principle and its application as Israel moves toward land settlement.</w:t>
      </w:r>
    </w:p>
    <w:p>
      <w:pPr>
        <w:numPr>
          <w:ilvl w:val="0"/>
          <w:numId w:val="1001"/>
        </w:numPr>
      </w:pPr>
      <w:r>
        <w:rPr>
          <w:b/>
          <w:bCs/>
        </w:rPr>
        <w:t xml:space="preserve">Deuteronomy 19:1–13</w:t>
      </w:r>
      <w:r>
        <w:t xml:space="preserve"> </w:t>
      </w:r>
      <w:r>
        <w:t xml:space="preserve">— Moses’ restatement of the cities of refuge legislation from the west-of-Jordan perspective, emphasizing the moral responsibility of the community to maintain the institution and the danger of allowing blood guilt to accumulate.</w:t>
      </w:r>
    </w:p>
    <w:p>
      <w:pPr>
        <w:numPr>
          <w:ilvl w:val="0"/>
          <w:numId w:val="1001"/>
        </w:numPr>
      </w:pPr>
      <w:r>
        <w:rPr>
          <w:b/>
          <w:bCs/>
        </w:rPr>
        <w:t xml:space="preserve">Hebrews 6:17–20</w:t>
      </w:r>
      <w:r>
        <w:t xml:space="preserve"> </w:t>
      </w:r>
      <w:r>
        <w:t xml:space="preserve">— The New Testament’s explicit use of the refuge-flight image:</w:t>
      </w:r>
      <w:r>
        <w:t xml:space="preserve"> </w:t>
      </w:r>
      <w:r>
        <w:t xml:space="preserve">“We who have fled for refuge might have strong encouragement to hold fast to the hope set before us… Jesus… has entered as a forerunner on our behalf.”</w:t>
      </w:r>
      <w:r>
        <w:t xml:space="preserve"> </w:t>
      </w:r>
      <w:r>
        <w:t xml:space="preserve">Establishes the typological trajectory without overturning the text’s own civic-legal force.</w:t>
      </w:r>
    </w:p>
    <w:p>
      <w:pPr>
        <w:numPr>
          <w:ilvl w:val="0"/>
          <w:numId w:val="1001"/>
        </w:numPr>
      </w:pPr>
      <w:r>
        <w:rPr>
          <w:b/>
          <w:bCs/>
        </w:rPr>
        <w:t xml:space="preserve">Revelation 21:27; 22:15</w:t>
      </w:r>
      <w:r>
        <w:t xml:space="preserve"> </w:t>
      </w:r>
      <w:r>
        <w:t xml:space="preserve">— The eschatological city from which all that defiles is excluded, reflecting the same theological logic as Numbers 35:34: the Holy One’s dwelling place must be commensurate with His holiness. What Numbers 35 protects provisionally and institutionally, Revelation 21–22 fulfills permanently and perfectly.</w:t>
      </w:r>
    </w:p>
    <w:p>
      <w:r>
        <w:pict>
          <v:rect style="width:0;height:1.5pt" o:hralign="center" o:hrstd="t" o:hr="t"/>
        </w:pict>
      </w:r>
    </w:p>
    <w:p>
      <w:pPr>
        <w:pStyle w:val="FirstParagraph"/>
      </w:pPr>
      <w:r>
        <w:rPr>
          <w:b/>
          <w:bCs/>
        </w:rPr>
        <w:t xml:space="preserve">Aim:</w:t>
      </w:r>
      <w:r>
        <w:t xml:space="preserve"> </w:t>
      </w:r>
      <w:r>
        <w:t xml:space="preserve">To show that God’s legislation in Numbers 35 is a theological claim about the inseparability of justice, mercy, and holiness — and to press the reader toward a deeper understanding of why Christ as our refuge is not a pastoral comfort but a structural necessity.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The LORD commands Moses on the plains of Moab to instruct Israel to give the Levites cities to live in, with surrounding pasturelands</w:t>
            </w:r>
          </w:p>
        </w:tc>
        <w:tc>
          <w:tcPr/>
          <w:p>
            <w:pPr>
              <w:pStyle w:val="Compact"/>
            </w:pPr>
            <w:r>
              <w:t xml:space="preserve">The Levites receive no land inheritance — these cities are their provision within the tribal allocations</w:t>
            </w:r>
          </w:p>
        </w:tc>
      </w:tr>
      <w:tr>
        <w:tc>
          <w:tcPr/>
          <w:p>
            <w:pPr>
              <w:pStyle w:val="Compact"/>
            </w:pPr>
            <w:r>
              <w:t xml:space="preserve">4–5</w:t>
            </w:r>
          </w:p>
        </w:tc>
        <w:tc>
          <w:tcPr/>
          <w:p>
            <w:pPr>
              <w:pStyle w:val="Compact"/>
            </w:pPr>
            <w:r>
              <w:t xml:space="preserve">The pasturelands are defined: 1,000 cubits from the city wall for pasture; 2,000 cubits as the outer boundary</w:t>
            </w:r>
          </w:p>
        </w:tc>
        <w:tc>
          <w:tcPr/>
          <w:p>
            <w:pPr>
              <w:pStyle w:val="Compact"/>
            </w:pPr>
            <w:r>
              <w:t xml:space="preserve">A precise, structured provision — showing the LORD’s care for detail in providing for His servants</w:t>
            </w:r>
          </w:p>
        </w:tc>
      </w:tr>
      <w:tr>
        <w:tc>
          <w:tcPr/>
          <w:p>
            <w:pPr>
              <w:pStyle w:val="Compact"/>
            </w:pPr>
            <w:r>
              <w:t xml:space="preserve">6–8</w:t>
            </w:r>
          </w:p>
        </w:tc>
        <w:tc>
          <w:tcPr/>
          <w:p>
            <w:pPr>
              <w:pStyle w:val="Compact"/>
            </w:pPr>
            <w:r>
              <w:t xml:space="preserve">Of the forty-eight total Levitical cities, six are to be cities of refuge; the remainder distributed proportionally from each tribe’s allocation</w:t>
            </w:r>
          </w:p>
        </w:tc>
        <w:tc>
          <w:tcPr/>
          <w:p>
            <w:pPr>
              <w:pStyle w:val="Compact"/>
            </w:pPr>
            <w:r>
              <w:t xml:space="preserve">Proportionality principle: larger tribes give more, smaller tribes give less — equity within covenant community</w:t>
            </w:r>
          </w:p>
        </w:tc>
      </w:tr>
      <w:tr>
        <w:tc>
          <w:tcPr/>
          <w:p>
            <w:pPr>
              <w:pStyle w:val="Compact"/>
            </w:pPr>
            <w:r>
              <w:t xml:space="preserve">9–12</w:t>
            </w:r>
          </w:p>
        </w:tc>
        <w:tc>
          <w:tcPr/>
          <w:p>
            <w:pPr>
              <w:pStyle w:val="Compact"/>
            </w:pPr>
            <w:r>
              <w:t xml:space="preserve">The LORD commands the designation of cities of refuge east and west of the Jordan, so that anyone who kills a person unintentionally may flee from the blood avenger before standing trial</w:t>
            </w:r>
          </w:p>
        </w:tc>
        <w:tc>
          <w:tcPr/>
          <w:p>
            <w:pPr>
              <w:pStyle w:val="Compact"/>
            </w:pPr>
            <w:r>
              <w:t xml:space="preserve">The blood avenger (</w:t>
            </w:r>
            <w:r>
              <w:rPr>
                <w:i/>
                <w:iCs/>
              </w:rPr>
              <w:t xml:space="preserve">go’el haddam</w:t>
            </w:r>
            <w:r>
              <w:t xml:space="preserve">) is a recognized legal figure — a kinsman-redeemer acting in judgment; the city provides asylum pending due process</w:t>
            </w:r>
          </w:p>
        </w:tc>
      </w:tr>
      <w:tr>
        <w:tc>
          <w:tcPr/>
          <w:p>
            <w:pPr>
              <w:pStyle w:val="Compact"/>
            </w:pPr>
            <w:r>
              <w:t xml:space="preserve">13–15</w:t>
            </w:r>
          </w:p>
        </w:tc>
        <w:tc>
          <w:tcPr/>
          <w:p>
            <w:pPr>
              <w:pStyle w:val="Compact"/>
            </w:pPr>
            <w:r>
              <w:t xml:space="preserve">Three cities east of Jordan, three west; all six for the Israelites, resident aliens, and foreigners — a remarkably broad application</w:t>
            </w:r>
          </w:p>
        </w:tc>
        <w:tc>
          <w:tcPr/>
          <w:p>
            <w:pPr>
              <w:pStyle w:val="Compact"/>
            </w:pPr>
            <w:r>
              <w:t xml:space="preserve">The protection is not for ethnic Israel alone but for all who dwell among them — a window into covenant community’s reach</w:t>
            </w:r>
          </w:p>
        </w:tc>
      </w:tr>
      <w:tr>
        <w:tc>
          <w:tcPr/>
          <w:p>
            <w:pPr>
              <w:pStyle w:val="Compact"/>
            </w:pPr>
            <w:r>
              <w:t xml:space="preserve">16–18</w:t>
            </w:r>
          </w:p>
        </w:tc>
        <w:tc>
          <w:tcPr/>
          <w:p>
            <w:pPr>
              <w:pStyle w:val="Compact"/>
            </w:pPr>
            <w:r>
              <w:t xml:space="preserve">If a person kills with an iron, stone, or wood weapon capable of killing, he is a murderer and must die — no city of refuge available</w:t>
            </w:r>
          </w:p>
        </w:tc>
        <w:tc>
          <w:tcPr/>
          <w:p>
            <w:pPr>
              <w:pStyle w:val="Compact"/>
            </w:pPr>
            <w:r>
              <w:t xml:space="preserve">Instrument as evidence of intent — the law reasons from means to intent in establishing murder</w:t>
            </w:r>
          </w:p>
        </w:tc>
      </w:tr>
      <w:tr>
        <w:tc>
          <w:tcPr/>
          <w:p>
            <w:pPr>
              <w:pStyle w:val="Compact"/>
            </w:pPr>
            <w:r>
              <w:t xml:space="preserve">19–21</w:t>
            </w:r>
          </w:p>
        </w:tc>
        <w:tc>
          <w:tcPr/>
          <w:p>
            <w:pPr>
              <w:pStyle w:val="Compact"/>
            </w:pPr>
            <w:r>
              <w:t xml:space="preserve">If the killing was out of enmity, lying in wait, or hostility — murder; the blood avenger is to put the murderer to death upon meeting him</w:t>
            </w:r>
          </w:p>
        </w:tc>
        <w:tc>
          <w:tcPr/>
          <w:p>
            <w:pPr>
              <w:pStyle w:val="Compact"/>
            </w:pPr>
            <w:r>
              <w:t xml:space="preserve">The blood avenger operates within a legally sanctioned framework, not as mob vengeance</w:t>
            </w:r>
          </w:p>
        </w:tc>
      </w:tr>
      <w:tr>
        <w:tc>
          <w:tcPr/>
          <w:p>
            <w:pPr>
              <w:pStyle w:val="Compact"/>
            </w:pPr>
            <w:r>
              <w:t xml:space="preserve">22–25</w:t>
            </w:r>
          </w:p>
        </w:tc>
        <w:tc>
          <w:tcPr/>
          <w:p>
            <w:pPr>
              <w:pStyle w:val="Compact"/>
            </w:pPr>
            <w:r>
              <w:t xml:space="preserve">If the killing was sudden without enmity, without lying in wait, without hostility, the congregation must judge between the killer and the blood avenger; the congregation shall restore the manslayer to the city of refuge</w:t>
            </w:r>
          </w:p>
        </w:tc>
        <w:tc>
          <w:tcPr/>
          <w:p>
            <w:pPr>
              <w:pStyle w:val="Compact"/>
            </w:pPr>
            <w:r>
              <w:t xml:space="preserve">The community bears judicial responsibility — this is not a private matter but a communal covenant obligation</w:t>
            </w:r>
          </w:p>
        </w:tc>
      </w:tr>
      <w:tr>
        <w:tc>
          <w:tcPr/>
          <w:p>
            <w:pPr>
              <w:pStyle w:val="Compact"/>
            </w:pPr>
            <w:r>
              <w:t xml:space="preserve">26–28</w:t>
            </w:r>
          </w:p>
        </w:tc>
        <w:tc>
          <w:tcPr/>
          <w:p>
            <w:pPr>
              <w:pStyle w:val="Compact"/>
            </w:pPr>
            <w:r>
              <w:t xml:space="preserve">If the manslayer leaves the city of refuge before the high priest’s death, the blood avenger may kill him without guilt; but after the high priest dies, the manslayer may return home safely</w:t>
            </w:r>
          </w:p>
        </w:tc>
        <w:tc>
          <w:tcPr/>
          <w:p>
            <w:pPr>
              <w:pStyle w:val="Compact"/>
            </w:pPr>
            <w:r>
              <w:t xml:space="preserve">The city is not optional asylum — leaving it voluntarily forfeits the protection. The death of the high priest marks the release</w:t>
            </w:r>
          </w:p>
        </w:tc>
      </w:tr>
      <w:tr>
        <w:tc>
          <w:tcPr/>
          <w:p>
            <w:pPr>
              <w:pStyle w:val="Compact"/>
            </w:pPr>
            <w:r>
              <w:t xml:space="preserve">29</w:t>
            </w:r>
          </w:p>
        </w:tc>
        <w:tc>
          <w:tcPr/>
          <w:p>
            <w:pPr>
              <w:pStyle w:val="Compact"/>
            </w:pPr>
            <w:r>
              <w:t xml:space="preserve">These shall be a statute and rule for your generations in all your dwelling places</w:t>
            </w:r>
          </w:p>
        </w:tc>
        <w:tc>
          <w:tcPr/>
          <w:p>
            <w:pPr>
              <w:pStyle w:val="Compact"/>
            </w:pPr>
            <w:r>
              <w:t xml:space="preserve">The institution is permanent and transferable — not time-limited to the wilderness generation</w:t>
            </w:r>
          </w:p>
        </w:tc>
      </w:tr>
      <w:tr>
        <w:tc>
          <w:tcPr/>
          <w:p>
            <w:pPr>
              <w:pStyle w:val="Compact"/>
            </w:pPr>
            <w:r>
              <w:t xml:space="preserve">30</w:t>
            </w:r>
          </w:p>
        </w:tc>
        <w:tc>
          <w:tcPr/>
          <w:p>
            <w:pPr>
              <w:pStyle w:val="Compact"/>
            </w:pPr>
            <w:r>
              <w:t xml:space="preserve">No person shall be put to death on the testimony of one witness — multiple witnesses required for capital cases</w:t>
            </w:r>
          </w:p>
        </w:tc>
        <w:tc>
          <w:tcPr/>
          <w:p>
            <w:pPr>
              <w:pStyle w:val="Compact"/>
            </w:pPr>
            <w:r>
              <w:t xml:space="preserve">Due process as a covenant value: no life may be taken without evidentiary rigor</w:t>
            </w:r>
          </w:p>
        </w:tc>
      </w:tr>
      <w:tr>
        <w:tc>
          <w:tcPr/>
          <w:p>
            <w:pPr>
              <w:pStyle w:val="Compact"/>
            </w:pPr>
            <w:r>
              <w:t xml:space="preserve">31</w:t>
            </w:r>
          </w:p>
        </w:tc>
        <w:tc>
          <w:tcPr/>
          <w:p>
            <w:pPr>
              <w:pStyle w:val="Compact"/>
            </w:pPr>
            <w:r>
              <w:t xml:space="preserve">No ransom shall be accepted for the life of a murderer — he shall be put to death</w:t>
            </w:r>
          </w:p>
        </w:tc>
        <w:tc>
          <w:tcPr/>
          <w:p>
            <w:pPr>
              <w:pStyle w:val="Compact"/>
            </w:pPr>
            <w:r>
              <w:t xml:space="preserve">The death penalty for murder cannot be commuted by payment. Life is not a financial transaction.</w:t>
            </w:r>
          </w:p>
        </w:tc>
      </w:tr>
      <w:tr>
        <w:tc>
          <w:tcPr/>
          <w:p>
            <w:pPr>
              <w:pStyle w:val="Compact"/>
            </w:pPr>
            <w:r>
              <w:t xml:space="preserve">32</w:t>
            </w:r>
          </w:p>
        </w:tc>
        <w:tc>
          <w:tcPr/>
          <w:p>
            <w:pPr>
              <w:pStyle w:val="Compact"/>
            </w:pPr>
            <w:r>
              <w:t xml:space="preserve">No ransom shall be accepted for a manslayer to return before the high priest’s death</w:t>
            </w:r>
          </w:p>
        </w:tc>
        <w:tc>
          <w:tcPr/>
          <w:p>
            <w:pPr>
              <w:pStyle w:val="Compact"/>
            </w:pPr>
            <w:r>
              <w:t xml:space="preserve">Symmetrically, the asylum cannot be purchased out of — the term is fixed by the high priest’s death, not by negotiation</w:t>
            </w:r>
          </w:p>
        </w:tc>
      </w:tr>
      <w:tr>
        <w:tc>
          <w:tcPr/>
          <w:p>
            <w:pPr>
              <w:pStyle w:val="Compact"/>
            </w:pPr>
            <w:r>
              <w:t xml:space="preserve">33–34</w:t>
            </w:r>
          </w:p>
        </w:tc>
        <w:tc>
          <w:tcPr/>
          <w:p>
            <w:pPr>
              <w:pStyle w:val="Compact"/>
            </w:pPr>
            <w:r>
              <w:t xml:space="preserve">Blood pollutes the land; the land cannot be atoned for except by the blood of the one who shed it; the LORD dwells in the land among Israel, therefore it must not be defiled</w:t>
            </w:r>
          </w:p>
        </w:tc>
        <w:tc>
          <w:tcPr/>
          <w:p>
            <w:pPr>
              <w:pStyle w:val="Compact"/>
            </w:pPr>
            <w:r>
              <w:t xml:space="preserve">Theological climax: land holiness, divine presence, and blood guilt are inseparably linked. This is the foundation for all that precedes it.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LORD Provides for the Levites: Forty-Eight Cities</w:t>
            </w:r>
          </w:p>
        </w:tc>
      </w:tr>
      <w:tr>
        <w:tc>
          <w:tcPr/>
          <w:p>
            <w:pPr>
              <w:pStyle w:val="Compact"/>
            </w:pPr>
            <w:r>
              <w:t xml:space="preserve">2</w:t>
            </w:r>
          </w:p>
        </w:tc>
        <w:tc>
          <w:tcPr/>
          <w:p>
            <w:pPr>
              <w:pStyle w:val="Compact"/>
            </w:pPr>
            <w:r>
              <w:t xml:space="preserve">9–15</w:t>
            </w:r>
          </w:p>
        </w:tc>
        <w:tc>
          <w:tcPr/>
          <w:p>
            <w:pPr>
              <w:pStyle w:val="Compact"/>
            </w:pPr>
            <w:r>
              <w:t xml:space="preserve">The Institution of the Six Cities of Refuge</w:t>
            </w:r>
          </w:p>
        </w:tc>
      </w:tr>
      <w:tr>
        <w:tc>
          <w:tcPr/>
          <w:p>
            <w:pPr>
              <w:pStyle w:val="Compact"/>
            </w:pPr>
            <w:r>
              <w:t xml:space="preserve">3</w:t>
            </w:r>
          </w:p>
        </w:tc>
        <w:tc>
          <w:tcPr/>
          <w:p>
            <w:pPr>
              <w:pStyle w:val="Compact"/>
            </w:pPr>
            <w:r>
              <w:t xml:space="preserve">16–25</w:t>
            </w:r>
          </w:p>
        </w:tc>
        <w:tc>
          <w:tcPr/>
          <w:p>
            <w:pPr>
              <w:pStyle w:val="Compact"/>
            </w:pPr>
            <w:r>
              <w:t xml:space="preserve">The Law of Murder and Manslaughter: Distinguishing Intent</w:t>
            </w:r>
          </w:p>
        </w:tc>
      </w:tr>
      <w:tr>
        <w:tc>
          <w:tcPr/>
          <w:p>
            <w:pPr>
              <w:pStyle w:val="Compact"/>
            </w:pPr>
            <w:r>
              <w:t xml:space="preserve">4</w:t>
            </w:r>
          </w:p>
        </w:tc>
        <w:tc>
          <w:tcPr/>
          <w:p>
            <w:pPr>
              <w:pStyle w:val="Compact"/>
            </w:pPr>
            <w:r>
              <w:t xml:space="preserve">26–32</w:t>
            </w:r>
          </w:p>
        </w:tc>
        <w:tc>
          <w:tcPr/>
          <w:p>
            <w:pPr>
              <w:pStyle w:val="Compact"/>
            </w:pPr>
            <w:r>
              <w:t xml:space="preserve">The Conditions of Asylum: Boundaries, Duration, and Ransom</w:t>
            </w:r>
          </w:p>
        </w:tc>
      </w:tr>
      <w:tr>
        <w:tc>
          <w:tcPr/>
          <w:p>
            <w:pPr>
              <w:pStyle w:val="Compact"/>
            </w:pPr>
            <w:r>
              <w:t xml:space="preserve">5</w:t>
            </w:r>
          </w:p>
        </w:tc>
        <w:tc>
          <w:tcPr/>
          <w:p>
            <w:pPr>
              <w:pStyle w:val="Compact"/>
            </w:pPr>
            <w:r>
              <w:t xml:space="preserve">33–34</w:t>
            </w:r>
          </w:p>
        </w:tc>
        <w:tc>
          <w:tcPr/>
          <w:p>
            <w:pPr>
              <w:pStyle w:val="Compact"/>
            </w:pPr>
            <w:r>
              <w:t xml:space="preserve">The Theological Foundation: Blood, Land, and the LORD’s Presence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structures justice and mercy in the land He inhabits, because His presence demands the sanctity of life.</w:t>
      </w:r>
    </w:p>
    <w:p>
      <w:pPr>
        <w:pStyle w:val="BodyText"/>
      </w:pPr>
      <w:r>
        <w:rPr>
          <w:b/>
          <w:bCs/>
        </w:rPr>
        <w:t xml:space="preserve">Primary Claim:</w:t>
      </w:r>
      <w:r>
        <w:t xml:space="preserve"> </w:t>
      </w:r>
      <w:r>
        <w:t xml:space="preserve">God is not merely legislating homicide law — He is forming a people who understand that human life is sacred because He is present among them, and that a community dwelling with a holy God must handle both guilt and innocence with exact and costly seriousness.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The distinction between murder and manslaughter embedded in this chapter is not legal hairsplitting — it is the LORD teaching His people that</w:t>
      </w:r>
      <w:r>
        <w:t xml:space="preserve"> </w:t>
      </w:r>
      <w:r>
        <w:rPr>
          <w:i/>
          <w:iCs/>
        </w:rPr>
        <w:t xml:space="preserve">intent matters because people bear His image</w:t>
      </w:r>
      <w:r>
        <w:t xml:space="preserve">. When you are wronged, you face real pressure to treat the distinction as irrelevant: what was done to you feels the same regardless of intent. But God refuses to allow that collapse. Apply this to how you process grievance: demand of yourself the same moral precision God demands of the community — identify what actually happened before deciding what justice requires, and resist the pull of the blood avenger in your own soul who wants verdict before trial.</w:t>
      </w:r>
      <w:r>
        <w:t xml:space="preserve"> </w:t>
      </w:r>
      <w:r>
        <w:rPr>
          <w:i/>
          <w:iCs/>
        </w:rPr>
        <w:t xml:space="preserve">(Mind/belief)</w:t>
      </w:r>
    </w:p>
    <w:p>
      <w:pPr>
        <w:pStyle w:val="BodyText"/>
      </w:pPr>
      <w:r>
        <w:rPr>
          <w:b/>
          <w:bCs/>
        </w:rPr>
        <w:t xml:space="preserve">2.</w:t>
      </w:r>
      <w:r>
        <w:t xml:space="preserve"> </w:t>
      </w:r>
      <w:r>
        <w:t xml:space="preserve">The cities of refuge are described as accessible, available, and real — six of them, distributed across the land so that no one is too far from asylum. This is not a theoretical protection but a structured, spatial, costly one. God built mercy into the architecture of Israel’s national life because mercy was not incidental to His character — it was load-bearing. Let this correct any reading of God in the Old Testament as purely retributive: He</w:t>
      </w:r>
      <w:r>
        <w:t xml:space="preserve"> </w:t>
      </w:r>
      <w:r>
        <w:rPr>
          <w:i/>
          <w:iCs/>
        </w:rPr>
        <w:t xml:space="preserve">institutionalized</w:t>
      </w:r>
      <w:r>
        <w:t xml:space="preserve"> </w:t>
      </w:r>
      <w:r>
        <w:t xml:space="preserve">protection for the vulnerable long before Bethlehem. Sit with the fact that God’s mercy has always been structural, not sentimental.</w:t>
      </w:r>
      <w:r>
        <w:t xml:space="preserve"> </w:t>
      </w:r>
      <w:r>
        <w:rPr>
          <w:i/>
          <w:iCs/>
        </w:rPr>
        <w:t xml:space="preserve">(Affections/worship)</w:t>
      </w:r>
    </w:p>
    <w:p>
      <w:pPr>
        <w:pStyle w:val="BodyText"/>
      </w:pPr>
      <w:r>
        <w:rPr>
          <w:b/>
          <w:bCs/>
        </w:rPr>
        <w:t xml:space="preserve">3.</w:t>
      </w:r>
      <w:r>
        <w:t xml:space="preserve"> </w:t>
      </w:r>
      <w:r>
        <w:t xml:space="preserve">Verse 34 is the theological bedrock of the chapter:</w:t>
      </w:r>
      <w:r>
        <w:t xml:space="preserve"> </w:t>
      </w:r>
      <w:r>
        <w:t xml:space="preserve">“I the LORD dwell in the midst of the people of Israel.”</w:t>
      </w:r>
      <w:r>
        <w:t xml:space="preserve"> </w:t>
      </w:r>
      <w:r>
        <w:t xml:space="preserve">God is not distant, managing Israel from outside — He is resident. This means the moral quality of their community life is directly connected to the quality of their life</w:t>
      </w:r>
      <w:r>
        <w:t xml:space="preserve"> </w:t>
      </w:r>
      <w:r>
        <w:rPr>
          <w:i/>
          <w:iCs/>
        </w:rPr>
        <w:t xml:space="preserve">with Him</w:t>
      </w:r>
      <w:r>
        <w:t xml:space="preserve">. The same logic governs the church:</w:t>
      </w:r>
      <w:r>
        <w:t xml:space="preserve"> </w:t>
      </w:r>
      <w:r>
        <w:t xml:space="preserve">“Do you not know that you are God’s temple and that God’s Spirit dwells in you?”</w:t>
      </w:r>
      <w:r>
        <w:t xml:space="preserve"> </w:t>
      </w:r>
      <w:r>
        <w:t xml:space="preserve">(1 Cor. 3:16). The community’s integrity is not a sociological preference — it is a theological necessity. How your church handles injustice, conflict, and the vulnerable is inseparable from whether it is a community where the LORD is at home.</w:t>
      </w:r>
      <w:r>
        <w:t xml:space="preserve"> </w:t>
      </w:r>
      <w:r>
        <w:rPr>
          <w:i/>
          <w:iCs/>
        </w:rPr>
        <w:t xml:space="preserve">(Mind/belief)</w:t>
      </w:r>
    </w:p>
    <w:p>
      <w:pPr>
        <w:pStyle w:val="BodyText"/>
      </w:pPr>
      <w:r>
        <w:rPr>
          <w:b/>
          <w:bCs/>
        </w:rPr>
        <w:t xml:space="preserve">4.</w:t>
      </w:r>
      <w:r>
        <w:t xml:space="preserve"> </w:t>
      </w:r>
      <w:r>
        <w:t xml:space="preserve">The prohibition of ransom for murder in verses 31–32 is striking:</w:t>
      </w:r>
      <w:r>
        <w:t xml:space="preserve"> </w:t>
      </w:r>
      <w:r>
        <w:rPr>
          <w:i/>
          <w:iCs/>
        </w:rPr>
        <w:t xml:space="preserve">no amount of money changes the moral reality of what was done</w:t>
      </w:r>
      <w:r>
        <w:t xml:space="preserve">. In a culture saturated by the implicit belief that wealth can cushion consequences — legally, relationally, spiritually — this passage refuses the transaction. Human life made in God’s image is not subject to market correction. Let this produce genuine grief over the ways you have treated consequences as negotiable when you had the resources to negotiate. The ransom God refuses to accept here, He provided at incalculable cost in His own Son — not to make guilt cheaper, but to make it</w:t>
      </w:r>
      <w:r>
        <w:t xml:space="preserve"> </w:t>
      </w:r>
      <w:r>
        <w:rPr>
          <w:i/>
          <w:iCs/>
        </w:rPr>
        <w:t xml:space="preserve">fully, finally, costlily paid</w:t>
      </w:r>
      <w:r>
        <w:t xml:space="preserve">.</w:t>
      </w:r>
      <w:r>
        <w:t xml:space="preserve"> </w:t>
      </w:r>
      <w:r>
        <w:rPr>
          <w:i/>
          <w:iCs/>
        </w:rPr>
        <w:t xml:space="preserve">(Affections/worship)</w:t>
      </w:r>
    </w:p>
    <w:p>
      <w:pPr>
        <w:pStyle w:val="BodyText"/>
      </w:pPr>
      <w:r>
        <w:rPr>
          <w:b/>
          <w:bCs/>
        </w:rPr>
        <w:t xml:space="preserve">5.</w:t>
      </w:r>
      <w:r>
        <w:t xml:space="preserve"> </w:t>
      </w:r>
      <w:r>
        <w:t xml:space="preserve">The manslayer who leaves the city of refuge voluntarily forfeits its protection — the asylum was real but required remaining within its boundaries. The typological resonance with the believer’s life in Christ is not incidental: the refuge is real, but it is not a past transaction that operates independently of ongoing abiding. This does not threaten the doctrine of perseverance — it funds it. Examine whether you are living</w:t>
      </w:r>
      <w:r>
        <w:t xml:space="preserve"> </w:t>
      </w:r>
      <w:r>
        <w:rPr>
          <w:i/>
          <w:iCs/>
        </w:rPr>
        <w:t xml:space="preserve">inside</w:t>
      </w:r>
      <w:r>
        <w:t xml:space="preserve"> </w:t>
      </w:r>
      <w:r>
        <w:t xml:space="preserve">the refuge — in sustained, conscious, daily reliance on Christ as your covering — or whether you have mentally filed the refuge and moved on, as if asylum were a completed event rather than a sustained reality.</w:t>
      </w:r>
      <w:r>
        <w:t xml:space="preserve"> </w:t>
      </w:r>
      <w:r>
        <w:rPr>
          <w:i/>
          <w:iCs/>
        </w:rPr>
        <w:t xml:space="preserve">(Will/behavior)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35 teaches that God is simultaneously a God of strict justice and structured mercy — not as competing attributes held in tension but as complementary expressions of His character in the governance of a community where He is personally present. The passage grounds the sanctity of human life not in social contract or humanitarian sentiment but in the</w:t>
      </w:r>
      <w:r>
        <w:t xml:space="preserve"> </w:t>
      </w:r>
      <w:r>
        <w:rPr>
          <w:i/>
          <w:iCs/>
        </w:rPr>
        <w:t xml:space="preserve">imago Dei</w:t>
      </w:r>
      <w:r>
        <w:t xml:space="preserve"> </w:t>
      </w:r>
      <w:r>
        <w:t xml:space="preserve">(Genesis 9:5–6 standing behind the entire legal structure) and in the proximity of the Holy One. The land is not merely a geopolitical allocation — it is the LORD’s own dwelling place, and therefore the spilling of innocent blood is not simply a criminal matter but a defilement of the divine home. The requirement that blood guilt be satisfied by blood — that it cannot be monetized or negotiated away — establishes a moral realism about sin and consequence that points forward to the cross: there is only one way land, community, and conscience are finally cleansed.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displays the inseparability of law and gospel that is characteristic of the Mosaic economy understood within the covenant of grace: the law is real, its demands are strict, and the wages of transgression cannot be reduced — yet within that same legal framework, God builds structures of mercy that anticipate the gospel. The Reformed understanding of common grace is reinforced by the extension of refuge protection to resident aliens and foreigners (v. 15) — the covenant community’s obligations do not stop at ethnic boundaries. The typological function of the high priest whose death releases the manslayer points unmistakably toward Hebrews’ theology of Christ as the great High Priest whose death is the final, unrepeatable act that releases the people of God from the bondage of guilt and opens their return to the inheritance. The chapter also reinforces the covenant concept of</w:t>
      </w:r>
      <w:r>
        <w:t xml:space="preserve"> </w:t>
      </w:r>
      <w:r>
        <w:rPr>
          <w:i/>
          <w:iCs/>
        </w:rPr>
        <w:t xml:space="preserve">land as sacred space defined by God’s presence</w:t>
      </w:r>
      <w:r>
        <w:t xml:space="preserve"> </w:t>
      </w:r>
      <w:r>
        <w:t xml:space="preserve">— a concept fulfilled eschatologically in Revelation’s New Jerusalem, where the same logic of holiness-commensurate-with-presence reaches its permanent perfection.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legislates the cities of refuge not because He is softening His justice but because He is displaying what justice</w:t>
      </w:r>
      <w:r>
        <w:t xml:space="preserve"> </w:t>
      </w:r>
      <w:r>
        <w:rPr>
          <w:i/>
          <w:iCs/>
        </w:rPr>
        <w:t xml:space="preserve">and</w:t>
      </w:r>
      <w:r>
        <w:t xml:space="preserve"> </w:t>
      </w:r>
      <w:r>
        <w:t xml:space="preserve">mercy look like when the Holy One takes up residence with His people. Human life is not cheap, guilt is not negotiable, and mercy is not accidental — they are all structurally, architecturally built into how God governs the community where He lives. Christ is the city you have run to. Stay there. The high priest has died; the debt is paid; go home.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Christological allegory before honoring its civic-legal content.</w:t>
      </w:r>
      <w:r>
        <w:t xml:space="preserve"> </w:t>
      </w:r>
      <w:r>
        <w:t xml:space="preserve">The typological reading of the cities of refuge is legitimate and rich — but if it is deployed immediately and exclusively, the preacher/teacher skips past the genuine theological work the passage is doing as</w:t>
      </w:r>
      <w:r>
        <w:t xml:space="preserve"> </w:t>
      </w:r>
      <w:r>
        <w:rPr>
          <w:i/>
          <w:iCs/>
        </w:rPr>
        <w:t xml:space="preserve">law</w:t>
      </w:r>
      <w:r>
        <w:t xml:space="preserve">. Numbers 35 is making real claims about justice, mercy, the sanctity of life, and communal responsibility in Israel’s covenant life. Skipping to</w:t>
      </w:r>
      <w:r>
        <w:t xml:space="preserve"> </w:t>
      </w:r>
      <w:r>
        <w:t xml:space="preserve">“Christ is our refuge”</w:t>
      </w:r>
      <w:r>
        <w:t xml:space="preserve"> </w:t>
      </w:r>
      <w:r>
        <w:t xml:space="preserve">before working through what the text actually says produces thin typology disconnected from the passage’s own weight. Let the text do its work before reaching for the type.</w:t>
      </w:r>
    </w:p>
    <w:p>
      <w:pPr>
        <w:numPr>
          <w:ilvl w:val="0"/>
          <w:numId w:val="1002"/>
        </w:numPr>
      </w:pPr>
      <w:r>
        <w:rPr>
          <w:b/>
          <w:bCs/>
        </w:rPr>
        <w:t xml:space="preserve">Missing the theological climax in verses 33–34.</w:t>
      </w:r>
      <w:r>
        <w:t xml:space="preserve"> </w:t>
      </w:r>
      <w:r>
        <w:t xml:space="preserve">The entire chapter is working toward these two verses. If the teaching ends with the legal distinctions of the middle sections and never arrives at</w:t>
      </w:r>
      <w:r>
        <w:t xml:space="preserve"> </w:t>
      </w:r>
      <w:r>
        <w:t xml:space="preserve">“I the LORD dwell among you,”</w:t>
      </w:r>
      <w:r>
        <w:t xml:space="preserve"> </w:t>
      </w:r>
      <w:r>
        <w:t xml:space="preserve">the passage’s theological foundation has been omitted. Verses 33–34 are not a footnote — they are the</w:t>
      </w:r>
      <w:r>
        <w:t xml:space="preserve"> </w:t>
      </w:r>
      <w:r>
        <w:rPr>
          <w:i/>
          <w:iCs/>
        </w:rPr>
        <w:t xml:space="preserve">reason</w:t>
      </w:r>
      <w:r>
        <w:t xml:space="preserve"> </w:t>
      </w:r>
      <w:r>
        <w:t xml:space="preserve">for everything that precedes them.</w:t>
      </w:r>
    </w:p>
    <w:p>
      <w:pPr>
        <w:numPr>
          <w:ilvl w:val="0"/>
          <w:numId w:val="1002"/>
        </w:numPr>
      </w:pPr>
      <w:r>
        <w:rPr>
          <w:b/>
          <w:bCs/>
        </w:rPr>
        <w:t xml:space="preserve">Presenting the cities of refuge as Israel’s version of the criminal justice system without recognizing the blood-avenger institution.</w:t>
      </w:r>
      <w:r>
        <w:t xml:space="preserve"> </w:t>
      </w:r>
      <w:r>
        <w:t xml:space="preserve">The</w:t>
      </w:r>
      <w:r>
        <w:t xml:space="preserve"> </w:t>
      </w:r>
      <w:r>
        <w:rPr>
          <w:i/>
          <w:iCs/>
        </w:rPr>
        <w:t xml:space="preserve">go’el haddam</w:t>
      </w:r>
      <w:r>
        <w:t xml:space="preserve"> </w:t>
      </w:r>
      <w:r>
        <w:t xml:space="preserve">is not a vigilante lawbreaker — he is a legal figure operating within a recognized covenant framework. Understanding this changes the chapter’s texture significantly: the cities of refuge are not protection</w:t>
      </w:r>
      <w:r>
        <w:t xml:space="preserve"> </w:t>
      </w:r>
      <w:r>
        <w:rPr>
          <w:i/>
          <w:iCs/>
        </w:rPr>
        <w:t xml:space="preserve">from</w:t>
      </w:r>
      <w:r>
        <w:t xml:space="preserve"> </w:t>
      </w:r>
      <w:r>
        <w:t xml:space="preserve">the law but protection</w:t>
      </w:r>
      <w:r>
        <w:t xml:space="preserve"> </w:t>
      </w:r>
      <w:r>
        <w:rPr>
          <w:i/>
          <w:iCs/>
        </w:rPr>
        <w:t xml:space="preserve">within</w:t>
      </w:r>
      <w:r>
        <w:t xml:space="preserve"> </w:t>
      </w:r>
      <w:r>
        <w:t xml:space="preserve">it, pending due process. Flattening this into modern criminal justice categories distorts the passage.</w:t>
      </w:r>
    </w:p>
    <w:p>
      <w:pPr>
        <w:numPr>
          <w:ilvl w:val="0"/>
          <w:numId w:val="1002"/>
        </w:numPr>
      </w:pPr>
      <w:r>
        <w:rPr>
          <w:b/>
          <w:bCs/>
        </w:rPr>
        <w:t xml:space="preserve">Treating the high priest’s death as explicitly substitutionary in the text when the text does not say this.</w:t>
      </w:r>
      <w:r>
        <w:t xml:space="preserve"> </w:t>
      </w:r>
      <w:r>
        <w:t xml:space="preserve">The associative logic between the high priest’s death and the manslayer’s release is real and typologically significant, but the text does not explain the mechanism. Overreading it into full substitutionary atonement imports more than the text warrants. State the type clearly; be honest about where the text ends and the trajectory begins.</w:t>
      </w:r>
    </w:p>
    <w:p>
      <w:pPr>
        <w:numPr>
          <w:ilvl w:val="0"/>
          <w:numId w:val="1002"/>
        </w:numPr>
      </w:pPr>
      <w:r>
        <w:rPr>
          <w:b/>
          <w:bCs/>
        </w:rPr>
        <w:t xml:space="preserve">Missing the extension of refuge protection to resident aliens (v. 15) and its theological significance.</w:t>
      </w:r>
      <w:r>
        <w:t xml:space="preserve"> </w:t>
      </w:r>
      <w:r>
        <w:t xml:space="preserve">The covenant community’s obligation of justice and mercy extends to non-Israelites dwelling among them. This has significant implications for how the church thinks about its responsibilities toward the vulnerable and the stranger — and it flatly contradicts any reading of Old Testament covenant law as purely ethnic or exclusionary in its protective intent.</w:t>
      </w:r>
    </w:p>
    <w:p>
      <w:pPr>
        <w:numPr>
          <w:ilvl w:val="0"/>
          <w:numId w:val="1002"/>
        </w:numPr>
      </w:pPr>
      <w:r>
        <w:rPr>
          <w:b/>
          <w:bCs/>
        </w:rPr>
        <w:t xml:space="preserve">Preaching the no-ransom provisions (vv. 31–32) as merely ancient law without pressing their contemporary diagnostic force.</w:t>
      </w:r>
      <w:r>
        <w:t xml:space="preserve"> </w:t>
      </w:r>
      <w:r>
        <w:t xml:space="preserve">The modern equivalent of</w:t>
      </w:r>
      <w:r>
        <w:t xml:space="preserve"> </w:t>
      </w:r>
      <w:r>
        <w:t xml:space="preserve">“ransom for murder”</w:t>
      </w:r>
      <w:r>
        <w:t xml:space="preserve"> </w:t>
      </w:r>
      <w:r>
        <w:t xml:space="preserve">is the use of wealth, influence, legal resources, or social capital to evade moral consequence. The passage is diagnosing a perennial temptation — the belief that sufficient resources make guilt negotiable. This is as live a pitfall today as in ancient Israel, and the preacher who skips it has left the passage’s sharpest contemporary edge unsheathed.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2026-07-14T21:01:59Z</dcterms:created>
  <dcterms:modified xsi:type="dcterms:W3CDTF">2026-07-14T21:01:59Z</dcterms:modified>
</cp:coreProperties>
</file>

<file path=docProps/custom.xml><?xml version="1.0" encoding="utf-8"?>
<Properties xmlns="http://schemas.openxmlformats.org/officeDocument/2006/custom-properties" xmlns:vt="http://schemas.openxmlformats.org/officeDocument/2006/docPropsVTypes"/>
</file>